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RONPA0265ZPB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Peștera Valea Cetății</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79121981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40899094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69031094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23,91</w:t>
      </w:r>
      <w:r w:rsidDel="00000000" w:rsidR="00000000" w:rsidRPr="00000000">
        <w:rPr>
          <w:rtl w:val="0"/>
        </w:rPr>
        <w:t xml:space="preserve"/>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t xml:space="preserve">99,99%</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Brașov</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94743945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200504936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204383901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060243207"/>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12892152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31965633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23,91</w:t>
      </w:r>
      <w:r w:rsidDel="00000000" w:rsidR="00000000" w:rsidRPr="00000000">
        <w:rPr>
          <w:rtl w:val="0"/>
        </w:rPr>
        <w:t xml:space="preserve"/>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RONPA0265 Peștera Valea Cetății. </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467"/>
        <w:gridCol w:w="4497"/>
        <w:tblGridChange w:id="0">
          <w:tblGrid>
            <w:gridCol w:w="4467"/>
            <w:gridCol w:w="449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0">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1">
            <w:pPr>
              <w:spacing w:after="0" w:lineRule="auto"/>
              <w:rPr>
                <w:b w:val="1"/>
                <w:bCs w:val="1"/>
                <w:sz w:val="22"/>
                <w:szCs w:val="22"/>
              </w:rPr>
            </w:pPr>
            <w:r w:rsidDel="00000000" w:rsidR="00000000" w:rsidRPr="00000000">
              <w:rPr>
                <w:b w:val="1"/>
                <w:bCs w:val="1"/>
                <w:sz w:val="22"/>
                <w:szCs w:val="22"/>
                <w:rtl w:val="0"/>
              </w:rPr>
              <w:t xml:space="preserve">Habitate de peșteri:</w:t>
            </w:r>
          </w:p>
          <w:p w:rsidR="00000000" w:rsidDel="00000000" w:rsidP="00000000" w:rsidRDefault="00000000" w:rsidRPr="00000000" w14:paraId="00000072">
            <w:pPr>
              <w:spacing w:after="0" w:lineRule="auto"/>
              <w:rPr>
                <w:b w:val="1"/>
                <w:bCs w:val="1"/>
                <w:sz w:val="22"/>
                <w:szCs w:val="22"/>
              </w:rPr>
            </w:pPr>
            <w:r w:rsidDel="00000000" w:rsidR="00000000" w:rsidRPr="00000000">
              <w:rPr>
                <w:i w:val="1"/>
                <w:iCs w:val="1"/>
                <w:sz w:val="22"/>
                <w:szCs w:val="22"/>
                <w:rtl w:val="0"/>
              </w:rPr>
              <w:t xml:space="preserve"> 8310 Peșteri în care accesul publicului este interzis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5">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6">
            <w:pPr>
              <w:spacing w:after="0" w:line="24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78">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7C">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D">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082">
            <w:pPr>
              <w:spacing w:after="0" w:line="24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1327 Eptesicus serotinus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Zonă de non-intervenție pentru ecosistemele forestiere incadrate in tipul funcțional 1 care cuprinde habitate de păduri temperate montane de conifere, habitate de păduri temperate europene precum și specii de amfibieni, reptile și chiroptere de interes comunitar și de management activ pentru ecosistmul cavernicol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rPr>
                <w:sz w:val="22"/>
                <w:szCs w:val="22"/>
              </w:rPr>
            </w:pPr>
            <w:r w:rsidDel="00000000" w:rsidR="00000000" w:rsidRPr="00000000">
              <w:rPr>
                <w:sz w:val="22"/>
                <w:szCs w:val="22"/>
                <w:rtl w:val="0"/>
              </w:rPr>
              <w:t xml:space="preserve">B02.01.02 replantarea pădurii (arbori nenativi)</w:t>
            </w:r>
            <w:r w:rsidDel="00000000" w:rsidR="00000000" w:rsidRPr="00000000">
              <w:rPr>
                <w:rtl w:val="0"/>
              </w:rPr>
              <w:br w:type="textWrapping"/>
            </w: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9">
            <w:pPr>
              <w:jc w:val="both"/>
              <w:rPr>
                <w:sz w:val="22"/>
                <w:szCs w:val="22"/>
              </w:rPr>
            </w:pPr>
            <w:r w:rsidDel="00000000" w:rsidR="00000000" w:rsidRPr="00000000">
              <w:rPr>
                <w:b w:val="1"/>
                <w:bCs w:val="1"/>
                <w:sz w:val="22"/>
                <w:szCs w:val="22"/>
                <w:rtl w:val="0"/>
              </w:rPr>
              <w:t xml:space="preserve">Obiective și măsuri de management activ pentru ecosistemele de peșteră (clasa C: peștera Valea Cetății)</w:t>
            </w:r>
            <w:r w:rsidDel="00000000" w:rsidR="00000000" w:rsidRPr="00000000">
              <w:rPr>
                <w:rtl w:val="0"/>
              </w:rPr>
            </w:r>
          </w:p>
          <w:p w:rsidR="00000000" w:rsidDel="00000000" w:rsidP="00000000" w:rsidRDefault="00000000" w:rsidRPr="00000000" w14:paraId="0000009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Menținerea integrității structurale și funcționale a ecosistemelor subterane prin gestionarea controlată a accesului și a activităților umane, astfel încât utilizarea speoturistică și educativă să fie compatibilă cu obiectivele de conservare.</w:t>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 Menținerea condițiilor naturale de microclimat în sectoarele accesibile publicului.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2. Protejarea biodiversității cavernicole și a coloniilor de chiroptere.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3. Reducerea impactului antropic generat de activitățile turistice și recreative.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4. Conservarea formațiunilor speologice și a sedimentelor naturale.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5. Monitorizarea impactului antropic și adaptarea măsurilor de management.</w:t>
            </w:r>
          </w:p>
          <w:p w:rsidR="00000000" w:rsidDel="00000000" w:rsidP="00000000" w:rsidRDefault="00000000" w:rsidRPr="00000000" w14:paraId="000000A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 Accesul în peșteri se realizează controlat, pe trasee stabilite și în condițiile respectării capacității de vizitare compatibile cu obiectivele de conservare.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2. În sectoarele sensibile se aplică restricții temporare de acces în perioadele de hibernare și reproducere ale speciilor de chiroptere.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3. În interiorul peșterilor sunt permise exclusiv amenajări minimale și reversibile, necesare siguranței vizitatorilor și protecției habitatului.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4. Se delimitează trasee de parcurgere pentru evitarea degradării podelelor de calcit, a sedimentelor și a formațiunilor speologice.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5. Se interzice deteriorarea formațiunilor speologice, colectarea materialelor naturale și abandonarea deșeurilor.</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6. Se interzice utilizarea sistemelor de iluminat cu flacără deschisă și introducerea substanțelor care pot afecta microclimatul sau biodiversitatea cavernicolă.</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7. Activitățile turistice, educative și de cercetare se desfășoară exclusiv cu impact redus asupra habitatelor și speciilor sensibile.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8. Se realizează periodic activități de monitorizare a parametrilor de microclimat, a biodiversității cavernicole și a efectelor generate de activitățile antropice.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9. În cazul identificării unor efecte negative asupra stării de conservare, accesul și activitățile permise se restricționează adaptiv, în funcție de rezultatele monitorizării.</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B3">
      <w:pPr>
        <w:rPr>
          <w:sz w:val="22"/>
          <w:szCs w:val="22"/>
        </w:rPr>
      </w:pPr>
      <w:r w:rsidDel="00000000" w:rsidR="00000000" w:rsidRPr="00000000">
        <w:rPr>
          <w:rtl w:val="0"/>
        </w:rPr>
      </w:r>
    </w:p>
    <w:p w:rsidR="00000000" w:rsidDel="00000000" w:rsidP="00000000" w:rsidRDefault="00000000" w:rsidRPr="00000000" w14:paraId="000000B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cuyxsitlpisy"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26 septembrie 2024 - Brașov, 23 mai 2025 - DS Brașov, 16-18 februarie 2026 - consultare Prefectură Brașov.</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11 decembrie 2025, cu participarea reprezentanților unităților administrativ-teritoriale, ai prefecturilor și/sau ai altor instituții relevante, după caz.</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A">
      <w:pPr>
        <w:jc w:val="both"/>
        <w:rPr>
          <w:sz w:val="22"/>
          <w:szCs w:val="22"/>
        </w:rPr>
      </w:pPr>
      <w:bookmarkStart w:colFirst="0" w:colLast="0" w:name="_heading=h.fg8khli0663o"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BB">
      <w:pP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s-pnrr-i3-2/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eRekaAYqqHEnW6FrzX5FpRftZ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Y3V5eHNpdGxwaXN5Mg5oLmZnOGtobGkwNjYzbzgAciExUkNpakNFaGlhaEEtV2d0S3ozRnVVdnc5bXF3SGt2bi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